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345</w:t>
      </w:r>
    </w:p>
    <w:p>
      <w:r>
        <w:t>Bundesgericht (BGE), 2011-05-26, DE</w:t>
      </w:r>
    </w:p>
    <w:p>
      <w:r>
        <w:rPr>
          <w:b/>
        </w:rPr>
        <w:t xml:space="preserve">Quelle: </w:t>
      </w:r>
      <w:r>
        <w:t>https://mcp.opencaselaw.ch/entscheid/bge_137 II 345</w:t>
      </w:r>
    </w:p>
    <w:p>
      <w:r>
        <w:t>FR: ATF 137 II 345</w:t>
      </w:r>
    </w:p>
    <w:p>
      <w:r>
        <w:t>IT: DTF 137 II 345</w:t>
      </w:r>
    </w:p>
    <w:p>
      <w:pPr>
        <w:pStyle w:val="Heading2"/>
      </w:pPr>
      <w:r>
        <w:t>Regeste</w:t>
      </w:r>
    </w:p>
    <w:p>
      <w:r>
        <w:t>Regeste Art. 50 Abs. 1 lit. b und Abs. 2 AuG; Begriff und Tragweite des nachehelichen ausländerrechtlichen Härtefalls; Bewilligungsanspruch eines vor der Heirat mit einer Schweizerin in Südafrika anerkannten kongolesischen Flüchtlings. Ein persönlicher, nachehelicher Härtefall setzt aufgrund der konkreten Umstände des Einzelfalls eine erhebliche Intensität der Konsequenzen für das Privat- und Familienleben der ausländischen Person voraus, die mit ihrer Lebenssituation nach dem Dahinfallen der aus der ehelichen Gemeinschaft abgeleiteten Anwesenheitsberechtigung verbunden sind. Hindernisse, die dem Vollzug der Wegweisung entgegenstehen, beeinträchtigen die soziale Wiedereingliederung im Herkunftsland und sind deshalb im Bewilligungsverfahren mitzuberücksichtigen; sie können nicht in ein allfälliges Asyl- oder Vollzugsverfahren verwiesen werden (E. 3).</w:t>
      </w:r>
    </w:p>
    <w:p>
      <w:pPr>
        <w:pStyle w:val="Heading2"/>
      </w:pPr>
      <w:r>
        <w:t>Erwägungen</w:t>
      </w:r>
    </w:p>
    <w:p>
      <w:r>
        <w:rPr>
          <w:b/>
        </w:rPr>
        <w:t>E. 3.1.1</w:t>
      </w:r>
    </w:p>
    <w:p>
      <w:r>
        <w:t>Ausländische Ehegatten von Schweizer Bürgern haben unter Vorbehalt von Art. 51 Abs. 1 AuG Anspruch auf Erteilung und Verlängerung ihrer Aufenthaltsbewilligung, wenn sie mit ihrem Partner BGE 137 II 345 S. 347 zusammenwohnen (Art. 42 Abs. 1 AuG). Der Beschwerdeführer lebt unbestrittenermassen seit Ende Mai 2009 von seiner Gattin getrennt, ohne dass es zu einer Wiedervereinigung gekommen wäre. Er hat somit gestützt auf die Ehe keinen Anspruch (mehr) darauf, dass seine Bewilligung verlängert wird.</w:t>
      </w:r>
    </w:p>
    <w:p>
      <w:r>
        <w:rPr>
          <w:b/>
        </w:rPr>
        <w:t>E. 3.1.2</w:t>
      </w:r>
    </w:p>
    <w:p>
      <w:r>
        <w:t>Der Bewilligungsanspruch besteht trotz Auflösens bzw. definitiven Scheiterns der Ehegemeinschaft fort, wenn diese mindestens drei Jahre gedauert und die betroffene ausländische Person sich hier zudem erfolgreich integriert hat (Art. 50 Abs. 1 lit. a AuG; BGE 136 II 113 E. 3.3.3). Eine (relevante) Ehegemeinschaft liegt vor,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der Verordnung vom 24. Oktober 2007 über Zulassung, Aufenthalt und Erwerbstätigkeit [VZAE; SR 142.201] ) -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w:t>
      </w:r>
    </w:p>
    <w:p>
      <w:r>
        <w:rPr>
          <w:b/>
        </w:rPr>
        <w:t>E. 3.1.3</w:t>
      </w:r>
    </w:p>
    <w:p>
      <w:r>
        <w:t>Der Beschwerdeführer hat sich am 20. Mai 2006 in Südafrika verheiratet, kam aber erst am 21. Mai 2007 in die Schweiz und lebte im besten Fall bis Ende Mai 2009 mit seiner Gattin zusammen. Der gemeinsame Haushalt bestand in der Schweiz damit während nur rund 24 Monaten. Die entsprechende Ehegemeinschaft blieb damit unter den gesetzlich geforderten drei Jahren. Diese zeitliche Grenze gilt im Übrigen absolut: Selbst wenn sie nur um wenige Wochen oder Tage verpasst wird, besteht praxisgemäss kein Anspruch auf Verlängerung der Bewilligung mehr (Urteile 2C_195/2010 vom 23. Juni 2010 E. 5.1; 2C_635/2009 vom 26. März 2010 E. 5.2; 2C_711/2009 vom 30. April 2010 E. 2.3.1). Art. 50 Abs. 1 lit. a AuG lässt den Aufenthaltsanspruch im Anschluss an die Auflösung der ehelichen Gemeinschaft nach frühestens drei Jahren und gleichzeitig erfolgreicher Integration verselbständigt weiter gelten. Soweit der Beschwerdeführer einwendet, nach dem klaren Wortlaut von Art. 50 Abs. 1 lit. a AuG müsse auch die Dauer der Ehegemeinschaft im Ausland mitberücksichtigt werden, verkennt er, dass das Bundesgericht in Auseinandersetzung mit den von ihm BGE 137 II 345 S. 348 zitierten Literaturstellen unter Berücksichtigung der Materialien, der Gesetzessystematik und der Gebote der Praktikabilität anders entschieden hat ( BGE 136 II 113 E. 3.3 S. 117 ff.). Es besteht kein Grund, auf diese Rechtsprechung zurückzukommen.</w:t>
      </w:r>
    </w:p>
    <w:p>
      <w:r>
        <w:rPr>
          <w:b/>
        </w:rPr>
        <w:t>E. 3.2.1</w:t>
      </w:r>
    </w:p>
    <w:p>
      <w:r>
        <w:t>Neben Art. 50 Abs. 1 lit. a AuG (Ehedauer und erfolgreiche Integration) hat der Gesetzgeber als nachehelichen ausländerrechtlichen Härtefall einen Rechtsanspruch auf Erteilung und Verlängerung der Aufenthaltsbewilligung für den Fall vorgesehen (Art. 50 Abs. 1 lit. b AuG), dass "wichtige persönliche Gründe" einen "weiteren Aufenthalt in der Schweiz erforderlich machen". Dabei geht es darum, Härtefälle bei der Bewilligungsverlängerung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mitzuberücksichtigen. Im Gegensatz zur Ermessensbewilligung nach Art. 30 Abs. 1 lit. b AuG, wonach die kantonale Bewilligungsbehörde unter Zustimmung des Bundesamts von den Zulassungsvoraussetzungen (Art. 18-29 AuG) abweichen kann, um "schwerwiegenden persönlichen Härtefällen oder wichtigen öffentlichen Interessen Rechnung zu tragen" (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Während Art. 30 Abs. 1 lit. b AuG in Weiterführung von Art. 13 lit. f BVO (AS 1986 1795 f.)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Der Härtefall nach Art. 50 Abs. 1 lit. b AuG ist für Situationen gedacht, in denen die Voraussetzungen der Litera a nicht erfüllt sind, sei es, dass der Aufenthalt während der Ehe von kürzerer Dauer war oder dass die Integration nicht fortgeschritten ist oder es an beidem fehlt (vgl. BGE 137 II 1 ff.), aber - aufgrund sämtlicher weiterer Umstände - eine Härtefallsituation vorliegt, BGE 137 II 345 S. 349 welche früher im Rahmen von Art. 13 lit. f BVO hätte berücksichtigt werden können. Der Gesetzgeber wollte mit Art. 50 AuG die diesbezüglich unterschiedlichen kantonalen Praxen vereinheitlichen (Botschaft AuG, BBl 2002 3709, 3754 Ziff. 1.3.7.6). Der ursprünglich vom schweizerischen bzw. niedergelassenen Ehepartner abgeleitete Bewilligungsanspruch soll in Ausnahmesituationen unter einheitlichen bundesrechtlichen Kriterien verselbständigt weiterbestehen, wobei für den späteren Erwerb der Niederlassungsberechtigung aber die allgemeinen Regeln (Art. 50 Abs. 3 i.V.m. Art. 34 AuG) und nicht mehr die speziellen Bestimmungen von Art. 42 Abs. 3 bzw. Art. 43 Abs. 2 AuG gelten.</w:t>
      </w:r>
    </w:p>
    <w:p>
      <w:r>
        <w:rPr>
          <w:b/>
        </w:rPr>
        <w:t>E. 3.2.2</w:t>
      </w:r>
    </w:p>
    <w:p>
      <w:r>
        <w:t>Die "wichtigen persönlichen Gründe" nach Art. 50 Abs. 1 lit. b AuG müssen den weiteren Aufenthalt "erforderlich" machen. Nach Art. 50 Abs. 2 AuG und der bundesgerichtlichen Rechtsprechung dazu ( BGE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(Botschaft AuG, a.a.O., 3754 Ziff. 1.3.7.6).</w:t>
      </w:r>
    </w:p>
    <w:p>
      <w:r>
        <w:rPr>
          <w:b/>
        </w:rPr>
        <w:t>E. 3.2.3</w:t>
      </w:r>
    </w:p>
    <w:p>
      <w:r>
        <w:t>Ein wichtiger persönlicher Grund kann sich aber auch aus anderen Umständen oder Aspekten im In- oder Heimatland der betroffenen Person ergeben. Die in Art. 31 Abs. 1 der Verordnung vom 24. Oktober 2007 über Zulassung, Aufenthalt und Erwerbstätigkeit (VZAE; SR 142.201)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BGE 137 II 345 S. 350 seiner Familie (vgl. auch das Urteil 2C_216/2009 vom 20. August 2009 E. 2.2). Da es im Rahmen von Art. 50 Abs. 1 lit. b AuG um nacheheliche Härtefälle geht, d.h. an die ursprünglich aus der Ehe abgeleitete Bewilligung angeknüpft wird, sind auch die Umstände, die zum Abschluss bzw. zur Auflösung der Ehe geführt haben, von Bedeutung. Insoweit rechtfertigt es sich, im Todesfall des Partners etwa Pietätsgründe in die Gesamtwürdigung einfliessen zu lassen (vgl. BGE 137 II 1 E. 4.1). Hat der Aufenthalt nur kürzere Zeit gedauert und wurden keine engen Beziehungen zur Schweiz geknüpft, lässt sich ein Anspruch auf weiteren Verbleib nicht begründen, wenn die erneute Integration im Herkunftsland keine besonderen Probleme stellt (Botschaft AuG, a.a.O., 3754 Ziff. 1.3.7.6).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43 AuG spricht, muss der Härtefall sich auf die Ehe und den damit verbundenen Aufenthalt beziehen; ist der Anspruch nach Art. 50 AuG bereits untergegangen, weil es etwa am Zusammenwohnen fehlte, ohne dass wichtige Gründe für das Getrenntleben gegeben gewesen wären, kann der Anspruch nach Art. 50 AuG regelmässig nicht wieder aufleben (2C_590/2010 vom 29. November 2010 E. 2.5.3).</w:t>
      </w:r>
    </w:p>
    <w:p>
      <w:r>
        <w:rPr>
          <w:b/>
        </w:rPr>
        <w:t>E. 3.3.1</w:t>
      </w:r>
    </w:p>
    <w:p>
      <w:r>
        <w:t>Der Beschwerdeführer ist in der Schweiz beruflich wie gesellschaftlich beschränkt integriert. Nach der Trennung von seiner Frau musste er sein Studium am Technikum in Biel abbrechen und eine Stelle als Küchenhilfe antreten; die entsprechende Anstellung verlor er auf Ende Juli 2010 aus wirtschaftlichen Gründen. Sein Arbeitgeber attestiert, ihn als selbständigen, engagierten und belastbaren Mitarbeiter kennen und schätzen gelernt zu haben; er sei "initiativ und flexibel", wobei er die ihm übertragenen Arbeiten jederzeit "zuverlässig, sauber und zu seiner vollsten Zufriedenheit" erledigt habe; im persönlichen Umgang sei der Beschwerdeführer "stets hilfsbereit, BGE 137 II 345 S. 351 freundlich und korrekt" gewesen (Arbeitszeugnis vom 31. Mai 2010). Der Beschwerdeführer spricht heute Französisch, Englisch und gebrochen Deutsch. Seine Ehegemeinschaft in der Schweiz hat zwar bloss 24 Monate gedauert; im Rahmen von Art. 50 Abs. 1 lit. b AuG kann aber berücksichtigt werden, dass er bereits in Südafrika ein (zusätzliches) Jahr mit seiner Schweizer Gattin zusammengelebt und dieses Land, wo er als Flüchtling aufgenommen worden war und er als Elektriker gearbeitet hatte, gemeinsam mit dieser verlassen hat. Die Beziehung zerbrach unbestrittenermassen daran, dass die Ehegattin in der Schweiz eine andere (aussereheliche) Beziehung einging, wobei sie trotz ihrer Anstellung bei einer Bank ihren Mann, dessen Unterhalt und Studium sie bisher finanziert hatte, seinem Schicksal überliess. In diesem Zusammenhang ist auch der Zwischenfall zu sehen, der am 30. September 2009 dazu geführt hat, dass Schutzmassnahmen gegen ihn verfügt worden waren, die der Haftrichter am 9. Oktober 2009 aber mit sofortiger Wirkung wieder aufhob. Im Übrigen hat der Beschwerdeführer sich offenbar nichts zuschulden kommen lassen. Er ist - soweit ersichtlich - bisher hier auch nicht fürsorgeabhängig geworden.</w:t>
      </w:r>
    </w:p>
    <w:p>
      <w:r>
        <w:rPr>
          <w:b/>
        </w:rPr>
        <w:t>E. 3.3.2</w:t>
      </w:r>
    </w:p>
    <w:p>
      <w:r>
        <w:t>Ob diese Gründe für die Bewilligungsverlängerung für sich allein bereits ausreichen würden, braucht nicht entschieden zu werden, da der Sachverhalt bezüglich eines entscheidwesentlichen zusätzlichen Elements nicht erstellt ist: Nach Art. 50 Abs. 2 AuG liegen wichtige persönliche Gründe im Sinne von Absatz 1 lit. b AuG auch vor, wenn "die soziale Wiedereingliederung im Herkunftsland stark gefährdet erscheint": Der Beschwerdeführer ist am 28. Februar 2006 in Südafrika im Sinne des Refugee Acts vom 20. November 1998 als Flüchtling anerkannt worden (vgl. den Text in: "Republic of South Africa", Government Gazette, Vol. 402, Nr. 19544, Nr. 130 von 1998). Durch die Heirat und die damit verbundene definitive Ausreise in die Schweiz hat er diesen Status gemäss dem von ihm eingereichten Asylentscheid verloren ("....on condition that this formal recognition shall become null if he/she departs permanently from the Republic"). Seine Rückkehrmöglichkeit nach Südafrika ist damit infrage gestellt. Soweit die Vorinstanzen eine allfällige Ausreise in die Demokratische Republik Kongo vorsehen, kann dies mit Blick auf Art. 33 des Abkommens vom 28. Juli 1951 über die Rechtsstellung der Flüchtlinge (FK; SR 0.142.30; "Non-Refoulement") bzw. wegen des Vorliegens von Wegweisungsvollzugshindernissen, welche bei einer Verweigerung der Bewilligung und der damit verbundenen Wegweisung durch die kantonalen Behörden BGE 137 II 345 S. 352 zu prüfen sind (vgl. Art. 66 i.V.m. Art. 83 Abs. 6 AuG), problematisch erscheinen (vgl. das Urteil des BVGer E-4539/2007 vom 21. Dezember 2009 E. 5.2.3 mit Hinweisen; Entscheidungen und Mitteilungen der Schweizerischen Asylrekurskommission [EMARK] 2004Nr. 33 E. 8.3 S. 237 f.). Entgegen der Auffassung der Vorinstanz und des Bundesamtes sind solche Aspekte - wie sich aus dem Wortlaut von Art. 50 Abs. 2 AuG klar ergibt - ebenfalls geeignet, einen nachehelichen Härtefall im Sinne von Art. 50 Abs. 1 lit. b AuG zu begründen. Die entsprechenden Fragen können deshalb nicht (ausschliesslich) in das Asyl- oder Vollzugsverfahren verwiesen werden. Der Gesetzgeber nennt in Art. 50 Abs. 2 AuG die kompromittierten Wiedereingliederungschancen ausdrücklich als einen möglichen Grund eines nachehelichen Härtefalles. Die Anspruchsbewilligung nach Art. 50 Abs. 1 lit. b AuG geht dem Asylverfahren oder einem Verfahren um vorläufige Aufnahme (vgl. Art. 83 AuG) vor: Besteht ein ausländerrechtliches Verbleiberecht in der Schweiz, kann von vornherein keine asylrechtlich relevante Verfolgungssituation vorliegen und stellt sich auch die Frage einer vorläufigen Aufnahme nicht. Die Prüfung von Vollzugshindernissen setzt ihrerseits voraus, dass die Wegweisung rechtskräftig geworden ist, was wiederum nur möglich ist, wenn das Bewilligungsverfahren seinerseits abgeschlossen ist. Dieses kann nicht unter Hinweis auf das Vollzugsverfahren verkürzt werden, wenn der Gesetzgeber allenfalls auch dort relevante Elemente zum Teil des Bewilligungsverfahrens gemacht hat, wie dies bei dem - gegenüber dem ANAG (BS 1 121) - neu geschaffenen Bewilligungsanspruch nach Art. 50 Abs. 1 lit. b in Verbindung mit Abs. 2 AuG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